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D40A" w14:textId="6CA6758B" w:rsidR="00ED3362" w:rsidRDefault="002D7F7B" w:rsidP="003F77A9">
      <w:pPr>
        <w:spacing w:after="0" w:line="276" w:lineRule="auto"/>
        <w:rPr>
          <w:rFonts w:ascii="Khmer" w:eastAsia="Khmer" w:hAnsi="Khmer" w:cs="Khmer"/>
          <w:b/>
          <w:sz w:val="48"/>
          <w:szCs w:val="48"/>
        </w:rPr>
      </w:pPr>
      <w:r w:rsidRPr="006D7100">
        <w:rPr>
          <w:noProof/>
          <w:sz w:val="20"/>
          <w:szCs w:val="20"/>
        </w:rPr>
        <mc:AlternateContent>
          <mc:Choice Requires="wps">
            <w:drawing>
              <wp:anchor distT="0" distB="0" distL="114300" distR="114300" simplePos="0" relativeHeight="251658240" behindDoc="0" locked="0" layoutInCell="1" hidden="0" allowOverlap="1" wp14:anchorId="23D7D411" wp14:editId="78085C46">
                <wp:simplePos x="0" y="0"/>
                <wp:positionH relativeFrom="column">
                  <wp:posOffset>-914399</wp:posOffset>
                </wp:positionH>
                <wp:positionV relativeFrom="paragraph">
                  <wp:posOffset>-901699</wp:posOffset>
                </wp:positionV>
                <wp:extent cx="8178165" cy="885825"/>
                <wp:effectExtent l="0" t="0" r="0" b="0"/>
                <wp:wrapNone/>
                <wp:docPr id="47" name="Rectangle 47"/>
                <wp:cNvGraphicFramePr/>
                <a:graphic xmlns:a="http://schemas.openxmlformats.org/drawingml/2006/main">
                  <a:graphicData uri="http://schemas.microsoft.com/office/word/2010/wordprocessingShape">
                    <wps:wsp>
                      <wps:cNvSpPr/>
                      <wps:spPr>
                        <a:xfrm>
                          <a:off x="1261680" y="3341850"/>
                          <a:ext cx="8168640" cy="876300"/>
                        </a:xfrm>
                        <a:prstGeom prst="rect">
                          <a:avLst/>
                        </a:prstGeom>
                        <a:solidFill>
                          <a:srgbClr val="003398"/>
                        </a:solidFill>
                        <a:ln w="9525" cap="flat" cmpd="sng">
                          <a:solidFill>
                            <a:srgbClr val="003398"/>
                          </a:solidFill>
                          <a:prstDash val="solid"/>
                          <a:miter lim="800000"/>
                          <a:headEnd type="none" w="sm" len="sm"/>
                          <a:tailEnd type="none" w="sm" len="sm"/>
                        </a:ln>
                      </wps:spPr>
                      <wps:txbx>
                        <w:txbxContent>
                          <w:p w14:paraId="23D7D416" w14:textId="423515A9" w:rsidR="00ED3362" w:rsidRDefault="002D7F7B">
                            <w:pPr>
                              <w:spacing w:after="120" w:line="240" w:lineRule="auto"/>
                              <w:textDirection w:val="btLr"/>
                            </w:pPr>
                            <w:r>
                              <w:rPr>
                                <w:rFonts w:ascii="Verdana" w:eastAsia="Verdana" w:hAnsi="Verdana" w:cs="Verdana"/>
                                <w:b/>
                                <w:color w:val="FFFFFF"/>
                                <w:sz w:val="36"/>
                              </w:rPr>
                              <w:t>Sea-Intelligence – Press Release (</w:t>
                            </w:r>
                            <w:r w:rsidR="00A735F4">
                              <w:rPr>
                                <w:rFonts w:ascii="Verdana" w:eastAsia="Verdana" w:hAnsi="Verdana" w:cs="Verdana"/>
                                <w:b/>
                                <w:color w:val="FFFFFF"/>
                                <w:sz w:val="36"/>
                              </w:rPr>
                              <w:t>Oct</w:t>
                            </w:r>
                            <w:r w:rsidR="00DB0EF7">
                              <w:rPr>
                                <w:rFonts w:ascii="Verdana" w:eastAsia="Verdana" w:hAnsi="Verdana" w:cs="Verdana"/>
                                <w:b/>
                                <w:color w:val="FFFFFF"/>
                                <w:sz w:val="36"/>
                              </w:rPr>
                              <w:t xml:space="preserve"> </w:t>
                            </w:r>
                            <w:r w:rsidR="00A735F4">
                              <w:rPr>
                                <w:rFonts w:ascii="Verdana" w:eastAsia="Verdana" w:hAnsi="Verdana" w:cs="Verdana"/>
                                <w:b/>
                                <w:color w:val="FFFFFF"/>
                                <w:sz w:val="36"/>
                              </w:rPr>
                              <w:t>4</w:t>
                            </w:r>
                            <w:r w:rsidR="00DB0EF7">
                              <w:rPr>
                                <w:rFonts w:ascii="Verdana" w:eastAsia="Verdana" w:hAnsi="Verdana" w:cs="Verdana"/>
                                <w:b/>
                                <w:color w:val="FFFFFF"/>
                                <w:sz w:val="36"/>
                                <w:vertAlign w:val="superscript"/>
                              </w:rPr>
                              <w:t>th</w:t>
                            </w:r>
                            <w:r>
                              <w:rPr>
                                <w:rFonts w:ascii="Verdana" w:eastAsia="Verdana" w:hAnsi="Verdana" w:cs="Verdana"/>
                                <w:b/>
                                <w:color w:val="FFFFFF"/>
                                <w:sz w:val="36"/>
                              </w:rPr>
                              <w:t>, 202</w:t>
                            </w:r>
                            <w:r w:rsidR="0035763A">
                              <w:rPr>
                                <w:rFonts w:ascii="Verdana" w:eastAsia="Verdana" w:hAnsi="Verdana" w:cs="Verdana"/>
                                <w:b/>
                                <w:color w:val="FFFFFF"/>
                                <w:sz w:val="36"/>
                              </w:rPr>
                              <w:t>2</w:t>
                            </w:r>
                            <w:r>
                              <w:rPr>
                                <w:rFonts w:ascii="Verdana" w:eastAsia="Verdana" w:hAnsi="Verdana" w:cs="Verdana"/>
                                <w:b/>
                                <w:color w:val="FFFFFF"/>
                                <w:sz w:val="36"/>
                              </w:rPr>
                              <w:t>)</w:t>
                            </w:r>
                          </w:p>
                          <w:p w14:paraId="23D7D417" w14:textId="77777777" w:rsidR="00ED3362" w:rsidRDefault="002D7F7B">
                            <w:pPr>
                              <w:spacing w:after="120" w:line="258" w:lineRule="auto"/>
                              <w:textDirection w:val="btLr"/>
                            </w:pPr>
                            <w:r>
                              <w:rPr>
                                <w:rFonts w:ascii="Verdana" w:eastAsia="Verdana" w:hAnsi="Verdana" w:cs="Verdana"/>
                                <w:color w:val="FFFFFF"/>
                                <w:sz w:val="32"/>
                                <w:u w:val="single"/>
                              </w:rPr>
                              <w:t>www.Sea-Intelligence.com</w:t>
                            </w:r>
                          </w:p>
                          <w:p w14:paraId="23D7D418" w14:textId="77777777" w:rsidR="00ED3362" w:rsidRDefault="00ED3362">
                            <w:pPr>
                              <w:spacing w:after="0" w:line="258" w:lineRule="auto"/>
                              <w:textDirection w:val="btLr"/>
                            </w:pPr>
                          </w:p>
                        </w:txbxContent>
                      </wps:txbx>
                      <wps:bodyPr spcFirstLastPara="1" wrap="square" lIns="914400" tIns="180000" rIns="228600" bIns="45700" anchor="ctr" anchorCtr="0">
                        <a:noAutofit/>
                      </wps:bodyPr>
                    </wps:wsp>
                  </a:graphicData>
                </a:graphic>
              </wp:anchor>
            </w:drawing>
          </mc:Choice>
          <mc:Fallback>
            <w:pict>
              <v:rect w14:anchorId="23D7D411" id="Rectangle 47" o:spid="_x0000_s1026" style="position:absolute;margin-left:-1in;margin-top:-71pt;width:643.95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" fillcolor="#003398" strokecolor="#003398">
                <v:stroke startarrowwidth="narrow" startarrowlength="short" endarrowwidth="narrow" endarrowlength="short"/>
                <v:textbox inset="1in,5mm,18pt,1.2694mm">
                  <w:txbxContent>
                    <w:p w14:paraId="23D7D416" w14:textId="423515A9" w:rsidR="00ED3362" w:rsidRDefault="002D7F7B">
                      <w:pPr>
                        <w:spacing w:after="120" w:line="240" w:lineRule="auto"/>
                        <w:textDirection w:val="btLr"/>
                      </w:pPr>
                      <w:r>
                        <w:rPr>
                          <w:rFonts w:ascii="Verdana" w:eastAsia="Verdana" w:hAnsi="Verdana" w:cs="Verdana"/>
                          <w:b/>
                          <w:color w:val="FFFFFF"/>
                          <w:sz w:val="36"/>
                        </w:rPr>
                        <w:t>Sea-Intelligence – Press Release (</w:t>
                      </w:r>
                      <w:r w:rsidR="00A735F4">
                        <w:rPr>
                          <w:rFonts w:ascii="Verdana" w:eastAsia="Verdana" w:hAnsi="Verdana" w:cs="Verdana"/>
                          <w:b/>
                          <w:color w:val="FFFFFF"/>
                          <w:sz w:val="36"/>
                        </w:rPr>
                        <w:t>Oct</w:t>
                      </w:r>
                      <w:r w:rsidR="00DB0EF7">
                        <w:rPr>
                          <w:rFonts w:ascii="Verdana" w:eastAsia="Verdana" w:hAnsi="Verdana" w:cs="Verdana"/>
                          <w:b/>
                          <w:color w:val="FFFFFF"/>
                          <w:sz w:val="36"/>
                        </w:rPr>
                        <w:t xml:space="preserve"> </w:t>
                      </w:r>
                      <w:r w:rsidR="00A735F4">
                        <w:rPr>
                          <w:rFonts w:ascii="Verdana" w:eastAsia="Verdana" w:hAnsi="Verdana" w:cs="Verdana"/>
                          <w:b/>
                          <w:color w:val="FFFFFF"/>
                          <w:sz w:val="36"/>
                        </w:rPr>
                        <w:t>4</w:t>
                      </w:r>
                      <w:r w:rsidR="00DB0EF7">
                        <w:rPr>
                          <w:rFonts w:ascii="Verdana" w:eastAsia="Verdana" w:hAnsi="Verdana" w:cs="Verdana"/>
                          <w:b/>
                          <w:color w:val="FFFFFF"/>
                          <w:sz w:val="36"/>
                          <w:vertAlign w:val="superscript"/>
                        </w:rPr>
                        <w:t>th</w:t>
                      </w:r>
                      <w:r>
                        <w:rPr>
                          <w:rFonts w:ascii="Verdana" w:eastAsia="Verdana" w:hAnsi="Verdana" w:cs="Verdana"/>
                          <w:b/>
                          <w:color w:val="FFFFFF"/>
                          <w:sz w:val="36"/>
                        </w:rPr>
                        <w:t>, 202</w:t>
                      </w:r>
                      <w:r w:rsidR="0035763A">
                        <w:rPr>
                          <w:rFonts w:ascii="Verdana" w:eastAsia="Verdana" w:hAnsi="Verdana" w:cs="Verdana"/>
                          <w:b/>
                          <w:color w:val="FFFFFF"/>
                          <w:sz w:val="36"/>
                        </w:rPr>
                        <w:t>2</w:t>
                      </w:r>
                      <w:r>
                        <w:rPr>
                          <w:rFonts w:ascii="Verdana" w:eastAsia="Verdana" w:hAnsi="Verdana" w:cs="Verdana"/>
                          <w:b/>
                          <w:color w:val="FFFFFF"/>
                          <w:sz w:val="36"/>
                        </w:rPr>
                        <w:t>)</w:t>
                      </w:r>
                    </w:p>
                    <w:p w14:paraId="23D7D417" w14:textId="77777777" w:rsidR="00ED3362" w:rsidRDefault="002D7F7B">
                      <w:pPr>
                        <w:spacing w:after="120" w:line="258" w:lineRule="auto"/>
                        <w:textDirection w:val="btLr"/>
                      </w:pPr>
                      <w:r>
                        <w:rPr>
                          <w:rFonts w:ascii="Verdana" w:eastAsia="Verdana" w:hAnsi="Verdana" w:cs="Verdana"/>
                          <w:color w:val="FFFFFF"/>
                          <w:sz w:val="32"/>
                          <w:u w:val="single"/>
                        </w:rPr>
                        <w:t>www.Sea-Intelligence.com</w:t>
                      </w:r>
                    </w:p>
                    <w:p w14:paraId="23D7D418" w14:textId="77777777" w:rsidR="00ED3362" w:rsidRDefault="00ED3362">
                      <w:pPr>
                        <w:spacing w:after="0" w:line="258" w:lineRule="auto"/>
                        <w:textDirection w:val="btLr"/>
                      </w:pPr>
                    </w:p>
                  </w:txbxContent>
                </v:textbox>
              </v:rect>
            </w:pict>
          </mc:Fallback>
        </mc:AlternateContent>
      </w:r>
      <w:r w:rsidR="00A735F4">
        <w:rPr>
          <w:rFonts w:ascii="Khmer" w:eastAsia="Khmer" w:hAnsi="Khmer" w:cs="Khmer"/>
          <w:b/>
          <w:sz w:val="46"/>
          <w:szCs w:val="46"/>
        </w:rPr>
        <w:t>50% of the congestion has been resolved</w:t>
      </w:r>
    </w:p>
    <w:p w14:paraId="3C20C990" w14:textId="6C4C271A" w:rsidR="001015F7" w:rsidRDefault="00A735F4" w:rsidP="00E62CDE">
      <w:pPr>
        <w:spacing w:after="120" w:line="360" w:lineRule="auto"/>
        <w:jc w:val="both"/>
        <w:rPr>
          <w:rFonts w:ascii="Verdana" w:hAnsi="Verdana"/>
        </w:rPr>
      </w:pPr>
      <w:r>
        <w:rPr>
          <w:rFonts w:ascii="Verdana" w:hAnsi="Verdana"/>
        </w:rPr>
        <w:t>With the continued gradual improvement in schedule reliability in August 2022 and the resultant improvement in vessel delays, the global fleet that was unavailable due to these delays dropped to 7.9%</w:t>
      </w:r>
      <w:r w:rsidR="001015F7" w:rsidRPr="001015F7">
        <w:rPr>
          <w:rFonts w:ascii="Verdana" w:hAnsi="Verdana"/>
        </w:rPr>
        <w:t>.</w:t>
      </w:r>
      <w:r>
        <w:rPr>
          <w:rFonts w:ascii="Verdana" w:hAnsi="Verdana"/>
        </w:rPr>
        <w:t xml:space="preserve"> This was from a peak of 13.8% in January 2022. Keeping in mind </w:t>
      </w:r>
      <w:r w:rsidR="003F77A9">
        <w:rPr>
          <w:rFonts w:ascii="Verdana" w:hAnsi="Verdana"/>
        </w:rPr>
        <w:t xml:space="preserve">the </w:t>
      </w:r>
      <w:r>
        <w:rPr>
          <w:rFonts w:ascii="Verdana" w:hAnsi="Verdana"/>
        </w:rPr>
        <w:t>baseline unavailable capacity of 2% (as there are always some delays), at the height of delays in January 2022, an additional 11.8% of capacity was being absorbed. Since that level is down to 5.9% additional capacity in August 2022, this essentially means that the congestion issues have been cut in half</w:t>
      </w:r>
      <w:r w:rsidR="003F77A9">
        <w:rPr>
          <w:rFonts w:ascii="Verdana" w:hAnsi="Verdana"/>
        </w:rPr>
        <w:t>,</w:t>
      </w:r>
      <w:r>
        <w:rPr>
          <w:rFonts w:ascii="Verdana" w:hAnsi="Verdana"/>
        </w:rPr>
        <w:t xml:space="preserve"> compared to the situation in January 2022.</w:t>
      </w:r>
    </w:p>
    <w:p w14:paraId="2DF82E60" w14:textId="769E79A7" w:rsidR="00A735F4" w:rsidRDefault="00A735F4" w:rsidP="00E62CDE">
      <w:pPr>
        <w:spacing w:after="120" w:line="360" w:lineRule="auto"/>
        <w:jc w:val="both"/>
        <w:rPr>
          <w:rFonts w:ascii="Verdana" w:hAnsi="Verdana"/>
        </w:rPr>
      </w:pPr>
      <w:r w:rsidRPr="00A735F4">
        <w:rPr>
          <w:rFonts w:ascii="Verdana" w:hAnsi="Verdana"/>
        </w:rPr>
        <w:t xml:space="preserve">The significant injection of released capacity has led to a situation, where the physical shortage of capacity, which drove the freight rates up, is no longer an issue in most trades. The question is then, how long will </w:t>
      </w:r>
      <w:r w:rsidR="003F77A9">
        <w:rPr>
          <w:rFonts w:ascii="Verdana" w:hAnsi="Verdana"/>
        </w:rPr>
        <w:t xml:space="preserve">it </w:t>
      </w:r>
      <w:r w:rsidRPr="00A735F4">
        <w:rPr>
          <w:rFonts w:ascii="Verdana" w:hAnsi="Verdana"/>
        </w:rPr>
        <w:t>take for this gradual improvement to get to a point, where the market is fully back to normal?</w:t>
      </w:r>
      <w:r>
        <w:rPr>
          <w:rFonts w:ascii="Verdana" w:hAnsi="Verdana"/>
        </w:rPr>
        <w:t xml:space="preserve"> There are multiple different way to look at this.</w:t>
      </w:r>
    </w:p>
    <w:p w14:paraId="658EDD6C" w14:textId="4B486F6E" w:rsidR="00A735F4" w:rsidRDefault="00E22978" w:rsidP="00E62CDE">
      <w:pPr>
        <w:spacing w:after="120" w:line="360" w:lineRule="auto"/>
        <w:jc w:val="both"/>
        <w:rPr>
          <w:rFonts w:ascii="Verdana" w:hAnsi="Verdana"/>
        </w:rPr>
      </w:pPr>
      <w:r w:rsidRPr="00E22978">
        <w:rPr>
          <w:noProof/>
        </w:rPr>
        <w:drawing>
          <wp:anchor distT="0" distB="0" distL="114300" distR="114300" simplePos="0" relativeHeight="251659264" behindDoc="1" locked="0" layoutInCell="1" allowOverlap="1" wp14:anchorId="34FD70C1" wp14:editId="430BC9FE">
            <wp:simplePos x="0" y="0"/>
            <wp:positionH relativeFrom="margin">
              <wp:posOffset>3810</wp:posOffset>
            </wp:positionH>
            <wp:positionV relativeFrom="paragraph">
              <wp:posOffset>1235710</wp:posOffset>
            </wp:positionV>
            <wp:extent cx="2428875" cy="2333625"/>
            <wp:effectExtent l="0" t="0" r="9525" b="9525"/>
            <wp:wrapTight wrapText="bothSides">
              <wp:wrapPolygon edited="0">
                <wp:start x="0" y="0"/>
                <wp:lineTo x="0" y="21512"/>
                <wp:lineTo x="21515" y="21512"/>
                <wp:lineTo x="21515" y="0"/>
                <wp:lineTo x="0" y="0"/>
              </wp:wrapPolygon>
            </wp:wrapTight>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28875" cy="2333625"/>
                    </a:xfrm>
                    <a:prstGeom prst="rect">
                      <a:avLst/>
                    </a:prstGeom>
                  </pic:spPr>
                </pic:pic>
              </a:graphicData>
            </a:graphic>
            <wp14:sizeRelH relativeFrom="margin">
              <wp14:pctWidth>0</wp14:pctWidth>
            </wp14:sizeRelH>
            <wp14:sizeRelV relativeFrom="margin">
              <wp14:pctHeight>0</wp14:pctHeight>
            </wp14:sizeRelV>
          </wp:anchor>
        </w:drawing>
      </w:r>
      <w:r w:rsidR="00A735F4">
        <w:rPr>
          <w:rFonts w:ascii="Verdana" w:hAnsi="Verdana"/>
        </w:rPr>
        <w:t>The first way is to look at the pace of worsening in 2020-2021</w:t>
      </w:r>
      <w:r w:rsidR="003F77A9">
        <w:rPr>
          <w:rFonts w:ascii="Verdana" w:hAnsi="Verdana"/>
        </w:rPr>
        <w:t>,</w:t>
      </w:r>
      <w:r w:rsidR="00A735F4">
        <w:rPr>
          <w:rFonts w:ascii="Verdana" w:hAnsi="Verdana"/>
        </w:rPr>
        <w:t xml:space="preserve"> and the pace of improvement in 2022. </w:t>
      </w:r>
      <w:r>
        <w:rPr>
          <w:rFonts w:ascii="Verdana" w:hAnsi="Verdana"/>
        </w:rPr>
        <w:t>The rate of change for both is quite similar, which means that, using this methodology, a full reversal to normality should come in March 2023. The second way is to compare the current rate of improvement</w:t>
      </w:r>
      <w:r w:rsidR="003F77A9">
        <w:rPr>
          <w:rFonts w:ascii="Verdana" w:hAnsi="Verdana"/>
        </w:rPr>
        <w:t>,</w:t>
      </w:r>
      <w:r>
        <w:rPr>
          <w:rFonts w:ascii="Verdana" w:hAnsi="Verdana"/>
        </w:rPr>
        <w:t xml:space="preserve"> with the improvement after the congestion problems in 2015. While the rate of improvement in 2022 is faster, it is also starting from a higher </w:t>
      </w:r>
      <w:r w:rsidR="003F77A9">
        <w:rPr>
          <w:rFonts w:ascii="Verdana" w:hAnsi="Verdana"/>
        </w:rPr>
        <w:t>level</w:t>
      </w:r>
      <w:r>
        <w:rPr>
          <w:rFonts w:ascii="Verdana" w:hAnsi="Verdana"/>
        </w:rPr>
        <w:t>, putting a recovery also by March 2023.</w:t>
      </w:r>
    </w:p>
    <w:p w14:paraId="3B8D9215" w14:textId="0CACA36F" w:rsidR="00E22978" w:rsidRPr="00096C88" w:rsidRDefault="00E22978" w:rsidP="003F77A9">
      <w:pPr>
        <w:spacing w:after="0" w:line="360" w:lineRule="auto"/>
        <w:jc w:val="both"/>
        <w:rPr>
          <w:rFonts w:ascii="Verdana" w:hAnsi="Verdana"/>
        </w:rPr>
      </w:pPr>
      <w:r>
        <w:rPr>
          <w:rFonts w:ascii="Verdana" w:hAnsi="Verdana"/>
        </w:rPr>
        <w:t xml:space="preserve">The third way, </w:t>
      </w:r>
      <w:r w:rsidR="003F77A9">
        <w:rPr>
          <w:rFonts w:ascii="Verdana" w:hAnsi="Verdana"/>
        </w:rPr>
        <w:t>as</w:t>
      </w:r>
      <w:r>
        <w:rPr>
          <w:rFonts w:ascii="Verdana" w:hAnsi="Verdana"/>
        </w:rPr>
        <w:t xml:space="preserve"> shown in figure 1, is to normalize the developments in 2015 and 2022 down to the same baseline and create an absorption index equalling 100 points at the respective peaks. </w:t>
      </w:r>
      <w:r w:rsidRPr="00E22978">
        <w:rPr>
          <w:rFonts w:ascii="Verdana" w:hAnsi="Verdana"/>
        </w:rPr>
        <w:t>In this case, we can see that in relative terms, the pace of improvement in 2022 is less than in 2015, but the indication is also that the current situation will come down to meet the 2015 developments by January 2023.</w:t>
      </w:r>
      <w:r w:rsidR="003F77A9">
        <w:rPr>
          <w:rFonts w:ascii="Verdana" w:hAnsi="Verdana"/>
        </w:rPr>
        <w:t xml:space="preserve"> In summary, all three models suggest we should be back at the “normal” 2% capacity loss baseline by early 2023, assuming the current pace continues, and there any no new major supply chain disruptions.</w:t>
      </w:r>
    </w:p>
    <w:p w14:paraId="23D7D40F" w14:textId="1EA05ADC" w:rsidR="00ED3362" w:rsidRDefault="002D7F7B" w:rsidP="003F77A9">
      <w:pPr>
        <w:spacing w:after="120" w:line="276" w:lineRule="auto"/>
        <w:jc w:val="center"/>
        <w:rPr>
          <w:rFonts w:ascii="Verdana" w:eastAsia="Verdana" w:hAnsi="Verdana" w:cs="Verdana"/>
        </w:rPr>
      </w:pPr>
      <w:r>
        <w:rPr>
          <w:rFonts w:ascii="Verdana" w:eastAsia="Verdana" w:hAnsi="Verdana" w:cs="Verdana"/>
        </w:rPr>
        <w:t>--- 000 --- END OF PRESS RELEASE --- 000 ---</w:t>
      </w:r>
    </w:p>
    <w:p w14:paraId="23D7D410" w14:textId="64F3B69D" w:rsidR="00ED3362" w:rsidRDefault="002D7F7B" w:rsidP="001363C6">
      <w:pPr>
        <w:spacing w:after="120" w:line="360" w:lineRule="auto"/>
        <w:rPr>
          <w:rFonts w:ascii="Verdana" w:eastAsia="Verdana" w:hAnsi="Verdana" w:cs="Verdana"/>
          <w:sz w:val="21"/>
          <w:szCs w:val="21"/>
        </w:rPr>
      </w:pPr>
      <w:r>
        <w:rPr>
          <w:rFonts w:ascii="Verdana" w:eastAsia="Verdana" w:hAnsi="Verdana" w:cs="Verdana"/>
          <w:sz w:val="21"/>
          <w:szCs w:val="21"/>
        </w:rPr>
        <w:t>All quotes can be attributed to: Alan Murphy, CEO, Sea-Intelligence.</w:t>
      </w:r>
      <w:r>
        <w:rPr>
          <w:rFonts w:ascii="Verdana" w:eastAsia="Verdana" w:hAnsi="Verdana" w:cs="Verdana"/>
          <w:sz w:val="21"/>
          <w:szCs w:val="21"/>
        </w:rPr>
        <w:br/>
        <w:t xml:space="preserve">For more information, please contact: </w:t>
      </w:r>
      <w:hyperlink r:id="rId9" w:history="1">
        <w:r w:rsidR="00617E94" w:rsidRPr="008563D5">
          <w:rPr>
            <w:rStyle w:val="Hyperlink"/>
            <w:rFonts w:ascii="Verdana" w:eastAsia="Verdana" w:hAnsi="Verdana" w:cs="Verdana"/>
            <w:sz w:val="21"/>
            <w:szCs w:val="21"/>
          </w:rPr>
          <w:t>ia@sea-intelligence.com</w:t>
        </w:r>
      </w:hyperlink>
      <w:r>
        <w:rPr>
          <w:rFonts w:ascii="Verdana" w:eastAsia="Verdana" w:hAnsi="Verdana" w:cs="Verdana"/>
          <w:sz w:val="21"/>
          <w:szCs w:val="21"/>
        </w:rPr>
        <w:t xml:space="preserve">, </w:t>
      </w:r>
      <w:hyperlink r:id="rId10">
        <w:r>
          <w:rPr>
            <w:rFonts w:ascii="Verdana" w:eastAsia="Verdana" w:hAnsi="Verdana" w:cs="Verdana"/>
            <w:color w:val="0563C1"/>
            <w:sz w:val="21"/>
            <w:szCs w:val="21"/>
            <w:u w:val="single"/>
          </w:rPr>
          <w:t>am@sea-intelligence.com</w:t>
        </w:r>
      </w:hyperlink>
    </w:p>
    <w:sectPr w:rsidR="00ED3362">
      <w:footerReference w:type="default" r:id="rId11"/>
      <w:pgSz w:w="12240" w:h="15840"/>
      <w:pgMar w:top="1440" w:right="900" w:bottom="1440" w:left="1134" w:header="720" w:footer="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EE9B" w14:textId="77777777" w:rsidR="006309C0" w:rsidRDefault="006309C0">
      <w:pPr>
        <w:spacing w:after="0" w:line="240" w:lineRule="auto"/>
      </w:pPr>
      <w:r>
        <w:separator/>
      </w:r>
    </w:p>
  </w:endnote>
  <w:endnote w:type="continuationSeparator" w:id="0">
    <w:p w14:paraId="3D22A157" w14:textId="77777777" w:rsidR="006309C0" w:rsidRDefault="0063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hmer">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D415" w14:textId="77777777" w:rsidR="00ED3362" w:rsidRDefault="002D7F7B">
    <w:pPr>
      <w:shd w:val="clear" w:color="auto" w:fill="FFFFFF"/>
      <w:spacing w:after="300" w:line="240" w:lineRule="auto"/>
      <w:jc w:val="both"/>
      <w:rPr>
        <w:rFonts w:ascii="Khmer" w:eastAsia="Khmer" w:hAnsi="Khmer" w:cs="Khmer"/>
        <w:color w:val="404040"/>
        <w:sz w:val="21"/>
        <w:szCs w:val="21"/>
      </w:rPr>
    </w:pPr>
    <w:r>
      <w:rPr>
        <w:rFonts w:ascii="Khmer" w:eastAsia="Khmer" w:hAnsi="Khmer" w:cs="Khmer"/>
        <w:color w:val="404040"/>
        <w:sz w:val="21"/>
        <w:szCs w:val="21"/>
      </w:rPr>
      <w:t>Sea</w:t>
    </w:r>
    <w:r>
      <w:rPr>
        <w:rFonts w:ascii="Cambria Math" w:eastAsia="Cambria Math" w:hAnsi="Cambria Math" w:cs="Cambria Math"/>
        <w:color w:val="404040"/>
        <w:sz w:val="21"/>
        <w:szCs w:val="21"/>
      </w:rPr>
      <w:t>‑</w:t>
    </w:r>
    <w:r>
      <w:rPr>
        <w:rFonts w:ascii="Khmer" w:eastAsia="Khmer" w:hAnsi="Khmer" w:cs="Khmer"/>
        <w:color w:val="404040"/>
        <w:sz w:val="21"/>
        <w:szCs w:val="21"/>
      </w:rPr>
      <w:t>Intelligence is a leading provider of Research &amp; Analysis, Data Services, and Advisory Services within the global supply chain industry, with a strong focus on container shipping. Combining strong quantitative analytical skills with a deep understanding of the supply chain industry, based on many decades of experience at all central parts of the Ocean supply chain, Sea</w:t>
    </w:r>
    <w:r>
      <w:rPr>
        <w:rFonts w:ascii="Cambria Math" w:eastAsia="Cambria Math" w:hAnsi="Cambria Math" w:cs="Cambria Math"/>
        <w:color w:val="404040"/>
        <w:sz w:val="21"/>
        <w:szCs w:val="21"/>
      </w:rPr>
      <w:t>‑</w:t>
    </w:r>
    <w:r>
      <w:rPr>
        <w:rFonts w:ascii="Khmer" w:eastAsia="Khmer" w:hAnsi="Khmer" w:cs="Khmer"/>
        <w:color w:val="404040"/>
        <w:sz w:val="21"/>
        <w:szCs w:val="21"/>
      </w:rPr>
      <w:t>Intelligence supports customers across all stakeholder groups.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5DDB" w14:textId="77777777" w:rsidR="006309C0" w:rsidRDefault="006309C0">
      <w:pPr>
        <w:spacing w:after="0" w:line="240" w:lineRule="auto"/>
      </w:pPr>
      <w:r>
        <w:separator/>
      </w:r>
    </w:p>
  </w:footnote>
  <w:footnote w:type="continuationSeparator" w:id="0">
    <w:p w14:paraId="54F8EAC1" w14:textId="77777777" w:rsidR="006309C0" w:rsidRDefault="00630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144D"/>
    <w:multiLevelType w:val="hybridMultilevel"/>
    <w:tmpl w:val="F3EAFCA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num w:numId="1" w16cid:durableId="151218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62"/>
    <w:rsid w:val="00000BE9"/>
    <w:rsid w:val="000138EF"/>
    <w:rsid w:val="000145DC"/>
    <w:rsid w:val="00021071"/>
    <w:rsid w:val="00022322"/>
    <w:rsid w:val="00026792"/>
    <w:rsid w:val="00027146"/>
    <w:rsid w:val="000302B4"/>
    <w:rsid w:val="00031B77"/>
    <w:rsid w:val="000356E3"/>
    <w:rsid w:val="00057FCB"/>
    <w:rsid w:val="000611CD"/>
    <w:rsid w:val="000656BF"/>
    <w:rsid w:val="00080764"/>
    <w:rsid w:val="00083E1F"/>
    <w:rsid w:val="0009250C"/>
    <w:rsid w:val="00094392"/>
    <w:rsid w:val="00096C88"/>
    <w:rsid w:val="000A5C66"/>
    <w:rsid w:val="000B7125"/>
    <w:rsid w:val="000D437A"/>
    <w:rsid w:val="000D4870"/>
    <w:rsid w:val="000D52D3"/>
    <w:rsid w:val="000E560A"/>
    <w:rsid w:val="001015F7"/>
    <w:rsid w:val="0011039E"/>
    <w:rsid w:val="001249B8"/>
    <w:rsid w:val="00125318"/>
    <w:rsid w:val="00134A93"/>
    <w:rsid w:val="001363C6"/>
    <w:rsid w:val="00142862"/>
    <w:rsid w:val="001546DB"/>
    <w:rsid w:val="00172FE1"/>
    <w:rsid w:val="001761B3"/>
    <w:rsid w:val="00176AF7"/>
    <w:rsid w:val="00194A1C"/>
    <w:rsid w:val="00197A86"/>
    <w:rsid w:val="001D1262"/>
    <w:rsid w:val="001D1960"/>
    <w:rsid w:val="001D3BE5"/>
    <w:rsid w:val="001E21B5"/>
    <w:rsid w:val="001E63C3"/>
    <w:rsid w:val="00206446"/>
    <w:rsid w:val="0021474D"/>
    <w:rsid w:val="00216E61"/>
    <w:rsid w:val="0022026B"/>
    <w:rsid w:val="002272D6"/>
    <w:rsid w:val="0023428F"/>
    <w:rsid w:val="00242583"/>
    <w:rsid w:val="00242A7C"/>
    <w:rsid w:val="0024541B"/>
    <w:rsid w:val="00250D79"/>
    <w:rsid w:val="0025329B"/>
    <w:rsid w:val="002543AD"/>
    <w:rsid w:val="00256DEC"/>
    <w:rsid w:val="00257E31"/>
    <w:rsid w:val="00265D05"/>
    <w:rsid w:val="00270D1D"/>
    <w:rsid w:val="00271D53"/>
    <w:rsid w:val="002754A3"/>
    <w:rsid w:val="0029224A"/>
    <w:rsid w:val="002964A2"/>
    <w:rsid w:val="002A5663"/>
    <w:rsid w:val="002A5767"/>
    <w:rsid w:val="002B3CEB"/>
    <w:rsid w:val="002B3DD7"/>
    <w:rsid w:val="002B7CD2"/>
    <w:rsid w:val="002C75A5"/>
    <w:rsid w:val="002D7C4E"/>
    <w:rsid w:val="002D7F7B"/>
    <w:rsid w:val="002E17BD"/>
    <w:rsid w:val="002E5EEE"/>
    <w:rsid w:val="002E7462"/>
    <w:rsid w:val="002F2D51"/>
    <w:rsid w:val="002F45CC"/>
    <w:rsid w:val="00314039"/>
    <w:rsid w:val="003166B0"/>
    <w:rsid w:val="00316B97"/>
    <w:rsid w:val="00332A3F"/>
    <w:rsid w:val="003331E6"/>
    <w:rsid w:val="00341A4E"/>
    <w:rsid w:val="00345801"/>
    <w:rsid w:val="00352640"/>
    <w:rsid w:val="003526A9"/>
    <w:rsid w:val="00354515"/>
    <w:rsid w:val="0035763A"/>
    <w:rsid w:val="00366254"/>
    <w:rsid w:val="00371307"/>
    <w:rsid w:val="003718C1"/>
    <w:rsid w:val="00374ED7"/>
    <w:rsid w:val="003868E8"/>
    <w:rsid w:val="0039083A"/>
    <w:rsid w:val="003A7251"/>
    <w:rsid w:val="003C78A9"/>
    <w:rsid w:val="003D0ED2"/>
    <w:rsid w:val="003D185A"/>
    <w:rsid w:val="003D2C7E"/>
    <w:rsid w:val="003D3E5B"/>
    <w:rsid w:val="003E0ACD"/>
    <w:rsid w:val="003E14A9"/>
    <w:rsid w:val="003E26FB"/>
    <w:rsid w:val="003F77A9"/>
    <w:rsid w:val="00431B2C"/>
    <w:rsid w:val="0043531F"/>
    <w:rsid w:val="00442E5F"/>
    <w:rsid w:val="00445291"/>
    <w:rsid w:val="00450632"/>
    <w:rsid w:val="00450BB6"/>
    <w:rsid w:val="00456383"/>
    <w:rsid w:val="00476919"/>
    <w:rsid w:val="004806C1"/>
    <w:rsid w:val="0049654D"/>
    <w:rsid w:val="004A00DB"/>
    <w:rsid w:val="004A160F"/>
    <w:rsid w:val="004A4DB6"/>
    <w:rsid w:val="004A6D1C"/>
    <w:rsid w:val="004B42A5"/>
    <w:rsid w:val="004B6C13"/>
    <w:rsid w:val="004C6DBD"/>
    <w:rsid w:val="004C6EFD"/>
    <w:rsid w:val="004D0BF0"/>
    <w:rsid w:val="004D1478"/>
    <w:rsid w:val="004F449B"/>
    <w:rsid w:val="00502C23"/>
    <w:rsid w:val="00505109"/>
    <w:rsid w:val="00513A8B"/>
    <w:rsid w:val="00517F68"/>
    <w:rsid w:val="00531B94"/>
    <w:rsid w:val="00533941"/>
    <w:rsid w:val="0054023B"/>
    <w:rsid w:val="00542CDC"/>
    <w:rsid w:val="005546D2"/>
    <w:rsid w:val="00557797"/>
    <w:rsid w:val="00567542"/>
    <w:rsid w:val="00570B84"/>
    <w:rsid w:val="0057220B"/>
    <w:rsid w:val="00574EF3"/>
    <w:rsid w:val="0059150D"/>
    <w:rsid w:val="005C7A1F"/>
    <w:rsid w:val="005D1BC8"/>
    <w:rsid w:val="005D288A"/>
    <w:rsid w:val="005D33F4"/>
    <w:rsid w:val="006003E1"/>
    <w:rsid w:val="00617E94"/>
    <w:rsid w:val="00620847"/>
    <w:rsid w:val="006267B7"/>
    <w:rsid w:val="00627B34"/>
    <w:rsid w:val="006309C0"/>
    <w:rsid w:val="00631ACD"/>
    <w:rsid w:val="00633029"/>
    <w:rsid w:val="006426CF"/>
    <w:rsid w:val="00642B38"/>
    <w:rsid w:val="0064629E"/>
    <w:rsid w:val="00652139"/>
    <w:rsid w:val="00652830"/>
    <w:rsid w:val="00655AD1"/>
    <w:rsid w:val="00664511"/>
    <w:rsid w:val="006650A5"/>
    <w:rsid w:val="00677227"/>
    <w:rsid w:val="006919AD"/>
    <w:rsid w:val="00691A81"/>
    <w:rsid w:val="0069247C"/>
    <w:rsid w:val="006C68EA"/>
    <w:rsid w:val="006D5052"/>
    <w:rsid w:val="006D6AD0"/>
    <w:rsid w:val="006D7100"/>
    <w:rsid w:val="00701666"/>
    <w:rsid w:val="00713843"/>
    <w:rsid w:val="00713D65"/>
    <w:rsid w:val="0072601B"/>
    <w:rsid w:val="00736072"/>
    <w:rsid w:val="00736DC9"/>
    <w:rsid w:val="0075329D"/>
    <w:rsid w:val="0075413B"/>
    <w:rsid w:val="00765EDF"/>
    <w:rsid w:val="00773291"/>
    <w:rsid w:val="00773B45"/>
    <w:rsid w:val="00774388"/>
    <w:rsid w:val="00774FA0"/>
    <w:rsid w:val="00780274"/>
    <w:rsid w:val="007A0E85"/>
    <w:rsid w:val="007B386D"/>
    <w:rsid w:val="007B61DD"/>
    <w:rsid w:val="007B6513"/>
    <w:rsid w:val="007C3902"/>
    <w:rsid w:val="007E1DB9"/>
    <w:rsid w:val="007E2E78"/>
    <w:rsid w:val="007E5256"/>
    <w:rsid w:val="007E5983"/>
    <w:rsid w:val="007F6FD5"/>
    <w:rsid w:val="007F772C"/>
    <w:rsid w:val="008055F7"/>
    <w:rsid w:val="00817FC5"/>
    <w:rsid w:val="008214F2"/>
    <w:rsid w:val="008314AB"/>
    <w:rsid w:val="008454ED"/>
    <w:rsid w:val="008516AC"/>
    <w:rsid w:val="00854D88"/>
    <w:rsid w:val="008670B3"/>
    <w:rsid w:val="00887E35"/>
    <w:rsid w:val="008966F2"/>
    <w:rsid w:val="008B7981"/>
    <w:rsid w:val="008E228D"/>
    <w:rsid w:val="008F2D8F"/>
    <w:rsid w:val="00900FE9"/>
    <w:rsid w:val="00905056"/>
    <w:rsid w:val="00905B8C"/>
    <w:rsid w:val="009227A5"/>
    <w:rsid w:val="00924591"/>
    <w:rsid w:val="00926A08"/>
    <w:rsid w:val="00927FB2"/>
    <w:rsid w:val="00942E6C"/>
    <w:rsid w:val="0094492E"/>
    <w:rsid w:val="00961C96"/>
    <w:rsid w:val="0097323E"/>
    <w:rsid w:val="00976323"/>
    <w:rsid w:val="009A7CAA"/>
    <w:rsid w:val="009B5D60"/>
    <w:rsid w:val="009C18F5"/>
    <w:rsid w:val="009C3779"/>
    <w:rsid w:val="009D34C2"/>
    <w:rsid w:val="009E59E1"/>
    <w:rsid w:val="00A046B3"/>
    <w:rsid w:val="00A11CE9"/>
    <w:rsid w:val="00A20422"/>
    <w:rsid w:val="00A33E2A"/>
    <w:rsid w:val="00A5146F"/>
    <w:rsid w:val="00A522FF"/>
    <w:rsid w:val="00A55D57"/>
    <w:rsid w:val="00A60374"/>
    <w:rsid w:val="00A60E78"/>
    <w:rsid w:val="00A679DD"/>
    <w:rsid w:val="00A735F4"/>
    <w:rsid w:val="00A74EE2"/>
    <w:rsid w:val="00A86475"/>
    <w:rsid w:val="00A95D76"/>
    <w:rsid w:val="00AA2CEC"/>
    <w:rsid w:val="00AA3DA7"/>
    <w:rsid w:val="00AA7BAD"/>
    <w:rsid w:val="00AD3BC2"/>
    <w:rsid w:val="00AE1F9A"/>
    <w:rsid w:val="00B03E3B"/>
    <w:rsid w:val="00B0547F"/>
    <w:rsid w:val="00B131BC"/>
    <w:rsid w:val="00B163FD"/>
    <w:rsid w:val="00B218E2"/>
    <w:rsid w:val="00B32272"/>
    <w:rsid w:val="00B5652D"/>
    <w:rsid w:val="00B66978"/>
    <w:rsid w:val="00B67CD7"/>
    <w:rsid w:val="00B76256"/>
    <w:rsid w:val="00B91CEC"/>
    <w:rsid w:val="00B95795"/>
    <w:rsid w:val="00BA0A74"/>
    <w:rsid w:val="00BB4A87"/>
    <w:rsid w:val="00BB5CCE"/>
    <w:rsid w:val="00BC3AF7"/>
    <w:rsid w:val="00BC580B"/>
    <w:rsid w:val="00BD78EA"/>
    <w:rsid w:val="00C00E35"/>
    <w:rsid w:val="00C04E28"/>
    <w:rsid w:val="00C07B37"/>
    <w:rsid w:val="00C216E4"/>
    <w:rsid w:val="00C2538D"/>
    <w:rsid w:val="00C33613"/>
    <w:rsid w:val="00C35EE1"/>
    <w:rsid w:val="00C472A1"/>
    <w:rsid w:val="00C54085"/>
    <w:rsid w:val="00C8785D"/>
    <w:rsid w:val="00CA2B29"/>
    <w:rsid w:val="00CA3116"/>
    <w:rsid w:val="00CD2F94"/>
    <w:rsid w:val="00CE4080"/>
    <w:rsid w:val="00CE46C2"/>
    <w:rsid w:val="00CF63C3"/>
    <w:rsid w:val="00D0547A"/>
    <w:rsid w:val="00D16D31"/>
    <w:rsid w:val="00D30354"/>
    <w:rsid w:val="00D41230"/>
    <w:rsid w:val="00D42346"/>
    <w:rsid w:val="00D602C7"/>
    <w:rsid w:val="00D62A7C"/>
    <w:rsid w:val="00D668E7"/>
    <w:rsid w:val="00D84E6D"/>
    <w:rsid w:val="00D85C54"/>
    <w:rsid w:val="00D87062"/>
    <w:rsid w:val="00D8755E"/>
    <w:rsid w:val="00DA67D3"/>
    <w:rsid w:val="00DA6FF7"/>
    <w:rsid w:val="00DB0EF7"/>
    <w:rsid w:val="00DD55DE"/>
    <w:rsid w:val="00DE15B1"/>
    <w:rsid w:val="00DE3640"/>
    <w:rsid w:val="00DE487E"/>
    <w:rsid w:val="00E01947"/>
    <w:rsid w:val="00E02826"/>
    <w:rsid w:val="00E054A8"/>
    <w:rsid w:val="00E13A25"/>
    <w:rsid w:val="00E17AE2"/>
    <w:rsid w:val="00E22978"/>
    <w:rsid w:val="00E245CA"/>
    <w:rsid w:val="00E3260A"/>
    <w:rsid w:val="00E32FB8"/>
    <w:rsid w:val="00E441BB"/>
    <w:rsid w:val="00E450F1"/>
    <w:rsid w:val="00E45647"/>
    <w:rsid w:val="00E5060F"/>
    <w:rsid w:val="00E52D9A"/>
    <w:rsid w:val="00E53572"/>
    <w:rsid w:val="00E62CDE"/>
    <w:rsid w:val="00E65CB5"/>
    <w:rsid w:val="00E66246"/>
    <w:rsid w:val="00E9229E"/>
    <w:rsid w:val="00E9392D"/>
    <w:rsid w:val="00E96464"/>
    <w:rsid w:val="00EA0709"/>
    <w:rsid w:val="00EA3321"/>
    <w:rsid w:val="00EC721F"/>
    <w:rsid w:val="00ED3362"/>
    <w:rsid w:val="00EE0039"/>
    <w:rsid w:val="00EE36CF"/>
    <w:rsid w:val="00EF192E"/>
    <w:rsid w:val="00EF2CE2"/>
    <w:rsid w:val="00F04721"/>
    <w:rsid w:val="00F07C8E"/>
    <w:rsid w:val="00F16932"/>
    <w:rsid w:val="00F22300"/>
    <w:rsid w:val="00F2368E"/>
    <w:rsid w:val="00F23B02"/>
    <w:rsid w:val="00F3460F"/>
    <w:rsid w:val="00F34793"/>
    <w:rsid w:val="00F43049"/>
    <w:rsid w:val="00F47D46"/>
    <w:rsid w:val="00F50F8B"/>
    <w:rsid w:val="00F53DB5"/>
    <w:rsid w:val="00F57410"/>
    <w:rsid w:val="00F600E0"/>
    <w:rsid w:val="00F6011C"/>
    <w:rsid w:val="00F6455F"/>
    <w:rsid w:val="00F825C6"/>
    <w:rsid w:val="00F86594"/>
    <w:rsid w:val="00F86A51"/>
    <w:rsid w:val="00F87289"/>
    <w:rsid w:val="00F93AF2"/>
    <w:rsid w:val="00F969EE"/>
    <w:rsid w:val="00FA2E94"/>
    <w:rsid w:val="00FB014C"/>
    <w:rsid w:val="00FB07C6"/>
    <w:rsid w:val="00FB4DA9"/>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D40A"/>
  <w15:docId w15:val="{046B42D8-39F9-424E-B7DC-D94AD03D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45584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5C"/>
    <w:rPr>
      <w:lang w:val="en-GB"/>
    </w:rPr>
  </w:style>
  <w:style w:type="paragraph" w:styleId="Footer">
    <w:name w:val="footer"/>
    <w:basedOn w:val="Normal"/>
    <w:link w:val="FooterChar"/>
    <w:uiPriority w:val="99"/>
    <w:unhideWhenUsed/>
    <w:rsid w:val="00A0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5C"/>
    <w:rPr>
      <w:lang w:val="en-GB"/>
    </w:rPr>
  </w:style>
  <w:style w:type="character" w:styleId="Hyperlink">
    <w:name w:val="Hyperlink"/>
    <w:basedOn w:val="DefaultParagraphFont"/>
    <w:uiPriority w:val="99"/>
    <w:unhideWhenUsed/>
    <w:rsid w:val="00A0245C"/>
    <w:rPr>
      <w:color w:val="0563C1" w:themeColor="hyperlink"/>
      <w:u w:val="single"/>
    </w:rPr>
  </w:style>
  <w:style w:type="character" w:customStyle="1" w:styleId="Heading4Char">
    <w:name w:val="Heading 4 Char"/>
    <w:basedOn w:val="DefaultParagraphFont"/>
    <w:link w:val="Heading4"/>
    <w:uiPriority w:val="9"/>
    <w:rsid w:val="00455841"/>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455841"/>
    <w:rPr>
      <w:color w:val="605E5C"/>
      <w:shd w:val="clear" w:color="auto" w:fill="E1DFDD"/>
    </w:rPr>
  </w:style>
  <w:style w:type="character" w:styleId="SubtleEmphasis">
    <w:name w:val="Subtle Emphasis"/>
    <w:basedOn w:val="DefaultParagraphFont"/>
    <w:uiPriority w:val="19"/>
    <w:qFormat/>
    <w:rsid w:val="00455841"/>
    <w:rPr>
      <w:i/>
      <w:iCs/>
      <w:color w:val="404040" w:themeColor="text1" w:themeTint="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5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sea-intelligence.com" TargetMode="External"/><Relationship Id="rId4" Type="http://schemas.openxmlformats.org/officeDocument/2006/relationships/settings" Target="settings.xml"/><Relationship Id="rId9" Type="http://schemas.openxmlformats.org/officeDocument/2006/relationships/hyperlink" Target="mailto:ia@se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pyWfDKlq3yxw2j7Yky3MWA4xA==">AMUW2mVhm+8z4i3aQtRCx4lkkGWzMRWlxEy37cOwCqMFw2JVn3pZo778WRbl314ViZ2Fch9QG4SN4FajiK7BQEghlyZcAoNq9/F9Nstr1ukvKEL9IoLQNpQ=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Imaad Asad</dc:creator>
  <cp:lastModifiedBy>Alan</cp:lastModifiedBy>
  <cp:revision>3</cp:revision>
  <dcterms:created xsi:type="dcterms:W3CDTF">2022-10-03T22:39:00Z</dcterms:created>
  <dcterms:modified xsi:type="dcterms:W3CDTF">2022-10-04T07:03:00Z</dcterms:modified>
</cp:coreProperties>
</file>