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40A" w14:textId="67660B32" w:rsidR="00ED3362" w:rsidRDefault="002D7F7B" w:rsidP="00A522FF">
      <w:pPr>
        <w:spacing w:after="0" w:line="276" w:lineRule="auto"/>
        <w:rPr>
          <w:rFonts w:ascii="Khmer" w:eastAsia="Khmer" w:hAnsi="Khmer" w:cs="Khmer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7D411" wp14:editId="49EC1CA7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D416" w14:textId="74EE6B1E" w:rsidR="00ED3362" w:rsidRDefault="002D7F7B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4C7464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Nov</w:t>
                            </w:r>
                            <w:r w:rsidR="00B32272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4C7464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4C7464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2021)</w:t>
                            </w:r>
                          </w:p>
                          <w:p w14:paraId="23D7D417" w14:textId="77777777" w:rsidR="00ED3362" w:rsidRDefault="002D7F7B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23D7D418" w14:textId="77777777" w:rsidR="00ED3362" w:rsidRDefault="00ED336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D411" id="Rectangle 47" o:spid="_x0000_s1026" style="position:absolute;margin-left:-1in;margin-top:-71pt;width:643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dTPQIAAHgEAAAOAAAAZHJzL2Uyb0RvYy54bWysVNtu1DAQfUfiHyy/0yR7a7pqtkItRUgI&#10;KgofMOs4G0u+Ybt7+XuOvduWwgMIkQfHY5/MnDOXXF7tjWZbGaJytuPNWc2ZtML1ym46/u3r7ZuW&#10;s5jI9qSdlR0/yMivVq9fXe78Uk7c6HQvA4MTG5c73/ExJb+sqihGaSieOS8tLgcXDCWYYVP1gXbw&#10;bnQ1qetFtXOh98EJGSNOb46XfFX8D4MU6fMwRJmY7ji4pbKGsq7zWq0uabkJ5EclTjToH1gYUhZB&#10;n1zdUCL2ENRvrowSwUU3pDPhTOWGQQlZNEBNU/+i5n4kL4sWJCf6pzTF/+dWfNreBab6js/OObNk&#10;UKMvyBrZjZYMZ0jQzsclcPf+LpysiG1Wux+CyW/oYHuUf7JoFi3SfOj4dDpr2vkpwXKfmACgxfVi&#10;BoAAoj1fTOsCqJ49+RDTe+kMy5uOB1ApeaXtx5gQHdBHSA4cnVb9rdK6GGGzvtaBbSkXu55OL9pM&#10;H5+8gGnLdh2/mE/m4EHouUFTwtZ4ZCHaTYn34ov4d44zsRuK45FA8XDsL6MSmlwrA9F1fo7Ho6T+&#10;ne1ZOnhk3WI+eGYWDWdaYpqwAX1aJlL6zzjI1BZqc7WO9cm7tF/vT0Vbu/6AWkcvbhWYfqSY7iig&#10;2xuExQQg4PcHCiChP1i02EUzm4EqS8VqCnPOQrEmk3aR79bFms3Ps0FWjA6zJVJ4NK5TmbWswrq3&#10;D8kNqlQxUzvyOTFGe5dKnUYxz8/PdkE9/zBWPwAAAP//AwBQSwMEFAAGAAgAAAAhAC6c1KjkAAAA&#10;DQEAAA8AAABkcnMvZG93bnJldi54bWxMj81OwzAQhO9IvIO1SFxQ6ySkVQlxKgRC/EgcSEFwdONt&#10;EhGvQ+y26duz5QK32d3R7Df5crSd2OHgW0cK4mkEAqlypqVawdvqfrIA4YMmoztHqOCAHpbF6Umu&#10;M+P29Iq7MtSCQ8hnWkETQp9J6asGrfZT1yPxbeMGqwOPQy3NoPccbjuZRNFcWt0Sf2h0j7cNVl/l&#10;1iq4qJ5Kd/ju714enzcPs37x/mE/Y6XOz8abaxABx/BnhiM+o0PBTGu3JeNFp2ASpymXCb8qYXX0&#10;xOnlFYg175IZyCKX/1sUPwAAAP//AwBQSwECLQAUAAYACAAAACEAtoM4kv4AAADhAQAAEwAAAAAA&#10;AAAAAAAAAAAAAAAAW0NvbnRlbnRfVHlwZXNdLnhtbFBLAQItABQABgAIAAAAIQA4/SH/1gAAAJQB&#10;AAALAAAAAAAAAAAAAAAAAC8BAABfcmVscy8ucmVsc1BLAQItABQABgAIAAAAIQA5WddTPQIAAHgE&#10;AAAOAAAAAAAAAAAAAAAAAC4CAABkcnMvZTJvRG9jLnhtbFBLAQItABQABgAIAAAAIQAunNSo5AAA&#10;AA0BAAAPAAAAAAAAAAAAAAAAAJcEAABkcnMvZG93bnJldi54bWxQSwUGAAAAAAQABADzAAAAqAUA&#10;AAAA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23D7D416" w14:textId="74EE6B1E" w:rsidR="00ED3362" w:rsidRDefault="002D7F7B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4C7464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Nov</w:t>
                      </w:r>
                      <w:r w:rsidR="00B32272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4C7464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 w:rsidR="004C7464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2021)</w:t>
                      </w:r>
                    </w:p>
                    <w:p w14:paraId="23D7D417" w14:textId="77777777" w:rsidR="00ED3362" w:rsidRDefault="002D7F7B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23D7D418" w14:textId="77777777" w:rsidR="00ED3362" w:rsidRDefault="00ED3362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C7464">
        <w:rPr>
          <w:rFonts w:ascii="Khmer" w:eastAsia="Khmer" w:hAnsi="Khmer" w:cs="Khmer"/>
          <w:b/>
          <w:sz w:val="48"/>
          <w:szCs w:val="48"/>
        </w:rPr>
        <w:t>Almost all trades impacted by bottlenecks</w:t>
      </w:r>
    </w:p>
    <w:p w14:paraId="7A17752D" w14:textId="59F71CD1" w:rsidR="006C0C9B" w:rsidRPr="004C7464" w:rsidRDefault="008966F2" w:rsidP="001F5452">
      <w:pPr>
        <w:spacing w:after="120" w:line="33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 issue </w:t>
      </w:r>
      <w:r w:rsidR="004C7464">
        <w:rPr>
          <w:rFonts w:ascii="Verdana" w:eastAsia="Verdana" w:hAnsi="Verdana" w:cs="Verdana"/>
        </w:rPr>
        <w:t>538</w:t>
      </w:r>
      <w:r w:rsidR="000B0305">
        <w:rPr>
          <w:rFonts w:ascii="Verdana" w:eastAsia="Verdana" w:hAnsi="Verdana" w:cs="Verdana"/>
        </w:rPr>
        <w:t xml:space="preserve"> </w:t>
      </w:r>
      <w:r w:rsidR="00652830">
        <w:rPr>
          <w:rFonts w:ascii="Verdana" w:eastAsia="Verdana" w:hAnsi="Verdana" w:cs="Verdana"/>
        </w:rPr>
        <w:t xml:space="preserve">of the </w:t>
      </w:r>
      <w:r w:rsidR="00652830">
        <w:rPr>
          <w:rFonts w:ascii="Verdana" w:eastAsia="Verdana" w:hAnsi="Verdana" w:cs="Verdana"/>
          <w:i/>
          <w:iCs/>
        </w:rPr>
        <w:t>Sunday Spotlight</w:t>
      </w:r>
      <w:r w:rsidR="00652830">
        <w:rPr>
          <w:rFonts w:ascii="Verdana" w:eastAsia="Verdana" w:hAnsi="Verdana" w:cs="Verdana"/>
        </w:rPr>
        <w:t xml:space="preserve">, </w:t>
      </w:r>
      <w:r w:rsidR="00F16932">
        <w:rPr>
          <w:rFonts w:ascii="Verdana" w:eastAsia="Verdana" w:hAnsi="Verdana" w:cs="Verdana"/>
        </w:rPr>
        <w:t xml:space="preserve">we </w:t>
      </w:r>
      <w:r w:rsidR="000339E2">
        <w:rPr>
          <w:rFonts w:ascii="Verdana" w:eastAsia="Verdana" w:hAnsi="Verdana" w:cs="Verdana"/>
        </w:rPr>
        <w:t xml:space="preserve">analysed </w:t>
      </w:r>
      <w:r w:rsidR="002A645D">
        <w:rPr>
          <w:rFonts w:ascii="Verdana" w:eastAsia="Verdana" w:hAnsi="Verdana" w:cs="Verdana"/>
        </w:rPr>
        <w:t xml:space="preserve">data from the </w:t>
      </w:r>
      <w:r w:rsidR="000339E2">
        <w:rPr>
          <w:rFonts w:ascii="Verdana" w:eastAsia="Verdana" w:hAnsi="Verdana" w:cs="Verdana"/>
        </w:rPr>
        <w:t>October</w:t>
      </w:r>
      <w:r w:rsidR="004C7464">
        <w:rPr>
          <w:rFonts w:ascii="Verdana" w:eastAsia="Verdana" w:hAnsi="Verdana" w:cs="Verdana"/>
        </w:rPr>
        <w:t xml:space="preserve"> </w:t>
      </w:r>
      <w:r w:rsidR="001F5452">
        <w:rPr>
          <w:rFonts w:ascii="Verdana" w:eastAsia="Verdana" w:hAnsi="Verdana" w:cs="Verdana"/>
        </w:rPr>
        <w:t xml:space="preserve">2021 </w:t>
      </w:r>
      <w:r w:rsidR="004C7464">
        <w:rPr>
          <w:rFonts w:ascii="Verdana" w:eastAsia="Verdana" w:hAnsi="Verdana" w:cs="Verdana"/>
          <w:i/>
          <w:iCs/>
        </w:rPr>
        <w:t xml:space="preserve">Global Liner Performance </w:t>
      </w:r>
      <w:r w:rsidR="002A645D">
        <w:rPr>
          <w:rFonts w:ascii="Verdana" w:eastAsia="Verdana" w:hAnsi="Verdana" w:cs="Verdana"/>
        </w:rPr>
        <w:t xml:space="preserve">report </w:t>
      </w:r>
      <w:r w:rsidR="004C7464">
        <w:rPr>
          <w:rFonts w:ascii="Verdana" w:eastAsia="Verdana" w:hAnsi="Verdana" w:cs="Verdana"/>
        </w:rPr>
        <w:t>to see the impact of bottlenecks in the maritime supply system</w:t>
      </w:r>
      <w:r w:rsidR="000339E2">
        <w:rPr>
          <w:rFonts w:ascii="Verdana" w:eastAsia="Verdana" w:hAnsi="Verdana" w:cs="Verdana"/>
        </w:rPr>
        <w:t>,</w:t>
      </w:r>
      <w:r w:rsidR="004C7464">
        <w:rPr>
          <w:rFonts w:ascii="Verdana" w:eastAsia="Verdana" w:hAnsi="Verdana" w:cs="Verdana"/>
        </w:rPr>
        <w:t xml:space="preserve"> from the perspective of vessel delays. To do this, we set a baseline for vessel delays using data from 2016-2019, and then compared delays in excess of that baseline for 2020 and 2021.</w:t>
      </w:r>
      <w:r w:rsidR="000339E2">
        <w:rPr>
          <w:rFonts w:ascii="Verdana" w:eastAsia="Verdana" w:hAnsi="Verdana" w:cs="Verdana"/>
        </w:rPr>
        <w:t xml:space="preserve"> </w:t>
      </w:r>
    </w:p>
    <w:p w14:paraId="600FB867" w14:textId="7819579D" w:rsidR="0009731F" w:rsidRDefault="0038639D" w:rsidP="001F5452">
      <w:pPr>
        <w:spacing w:after="120" w:line="336" w:lineRule="auto"/>
        <w:jc w:val="both"/>
        <w:rPr>
          <w:rFonts w:ascii="Verdana" w:eastAsia="Verdana" w:hAnsi="Verdana" w:cs="Verdana"/>
        </w:rPr>
      </w:pPr>
      <w:r w:rsidRPr="00A04149">
        <w:drawing>
          <wp:anchor distT="0" distB="0" distL="114300" distR="114300" simplePos="0" relativeHeight="251660288" behindDoc="0" locked="0" layoutInCell="1" allowOverlap="1" wp14:anchorId="218EF1EB" wp14:editId="7B30721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79650" cy="2397760"/>
            <wp:effectExtent l="0" t="0" r="6350" b="2540"/>
            <wp:wrapThrough wrapText="bothSides">
              <wp:wrapPolygon edited="0">
                <wp:start x="0" y="0"/>
                <wp:lineTo x="0" y="21451"/>
                <wp:lineTo x="21480" y="21451"/>
                <wp:lineTo x="21480" y="0"/>
                <wp:lineTo x="0" y="0"/>
              </wp:wrapPolygon>
            </wp:wrapThrough>
            <wp:docPr id="4" name="Picture 4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, scatter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9E2">
        <w:rPr>
          <w:rFonts w:ascii="Verdana" w:eastAsia="Verdana" w:hAnsi="Verdana" w:cs="Verdana"/>
        </w:rPr>
        <w:t xml:space="preserve">Figure 1 shows how these excess delays have developed over the January 2019 to September 2021 period. While </w:t>
      </w:r>
      <w:r w:rsidR="003F7262" w:rsidRPr="003F7262">
        <w:rPr>
          <w:rFonts w:ascii="Verdana" w:eastAsia="Verdana" w:hAnsi="Verdana" w:cs="Verdana"/>
        </w:rPr>
        <w:t xml:space="preserve">there </w:t>
      </w:r>
      <w:r w:rsidR="003F7262">
        <w:rPr>
          <w:rFonts w:ascii="Verdana" w:eastAsia="Verdana" w:hAnsi="Verdana" w:cs="Verdana"/>
        </w:rPr>
        <w:t xml:space="preserve">was </w:t>
      </w:r>
      <w:r w:rsidR="003F7262" w:rsidRPr="003F7262">
        <w:rPr>
          <w:rFonts w:ascii="Verdana" w:eastAsia="Verdana" w:hAnsi="Verdana" w:cs="Verdana"/>
        </w:rPr>
        <w:t xml:space="preserve">an initial </w:t>
      </w:r>
      <w:r w:rsidR="000339E2">
        <w:rPr>
          <w:rFonts w:ascii="Verdana" w:eastAsia="Verdana" w:hAnsi="Verdana" w:cs="Verdana"/>
        </w:rPr>
        <w:t xml:space="preserve">pandemic </w:t>
      </w:r>
      <w:r w:rsidR="003F7262" w:rsidRPr="003F7262">
        <w:rPr>
          <w:rFonts w:ascii="Verdana" w:eastAsia="Verdana" w:hAnsi="Verdana" w:cs="Verdana"/>
        </w:rPr>
        <w:t>increase in delays in the first half of 2020</w:t>
      </w:r>
      <w:r w:rsidR="000339E2">
        <w:rPr>
          <w:rFonts w:ascii="Verdana" w:eastAsia="Verdana" w:hAnsi="Verdana" w:cs="Verdana"/>
        </w:rPr>
        <w:t>,</w:t>
      </w:r>
      <w:r w:rsidR="003F7262" w:rsidRPr="003F7262">
        <w:rPr>
          <w:rFonts w:ascii="Verdana" w:eastAsia="Verdana" w:hAnsi="Verdana" w:cs="Verdana"/>
        </w:rPr>
        <w:t xml:space="preserve"> </w:t>
      </w:r>
      <w:r w:rsidR="000339E2">
        <w:rPr>
          <w:rFonts w:ascii="Verdana" w:eastAsia="Verdana" w:hAnsi="Verdana" w:cs="Verdana"/>
        </w:rPr>
        <w:t xml:space="preserve">after </w:t>
      </w:r>
      <w:r w:rsidR="003F7262" w:rsidRPr="003F7262">
        <w:rPr>
          <w:rFonts w:ascii="Verdana" w:eastAsia="Verdana" w:hAnsi="Verdana" w:cs="Verdana"/>
        </w:rPr>
        <w:t>a brief period of improvement in summer 2020</w:t>
      </w:r>
      <w:r w:rsidR="000339E2">
        <w:rPr>
          <w:rFonts w:ascii="Verdana" w:eastAsia="Verdana" w:hAnsi="Verdana" w:cs="Verdana"/>
        </w:rPr>
        <w:t>,</w:t>
      </w:r>
      <w:r w:rsidR="003F7262" w:rsidRPr="003F7262">
        <w:rPr>
          <w:rFonts w:ascii="Verdana" w:eastAsia="Verdana" w:hAnsi="Verdana" w:cs="Verdana"/>
        </w:rPr>
        <w:t xml:space="preserve"> </w:t>
      </w:r>
      <w:r w:rsidR="000339E2">
        <w:rPr>
          <w:rFonts w:ascii="Verdana" w:eastAsia="Verdana" w:hAnsi="Verdana" w:cs="Verdana"/>
        </w:rPr>
        <w:t>t</w:t>
      </w:r>
      <w:r w:rsidR="003F7262" w:rsidRPr="003F7262">
        <w:rPr>
          <w:rFonts w:ascii="Verdana" w:eastAsia="Verdana" w:hAnsi="Verdana" w:cs="Verdana"/>
        </w:rPr>
        <w:t xml:space="preserve">he </w:t>
      </w:r>
      <w:r w:rsidR="000339E2">
        <w:rPr>
          <w:rFonts w:ascii="Verdana" w:eastAsia="Verdana" w:hAnsi="Verdana" w:cs="Verdana"/>
        </w:rPr>
        <w:t xml:space="preserve">delays </w:t>
      </w:r>
      <w:r w:rsidR="003F7262" w:rsidRPr="003F7262">
        <w:rPr>
          <w:rFonts w:ascii="Verdana" w:eastAsia="Verdana" w:hAnsi="Verdana" w:cs="Verdana"/>
        </w:rPr>
        <w:t>then escalate</w:t>
      </w:r>
      <w:r w:rsidR="003F7262">
        <w:rPr>
          <w:rFonts w:ascii="Verdana" w:eastAsia="Verdana" w:hAnsi="Verdana" w:cs="Verdana"/>
        </w:rPr>
        <w:t>d</w:t>
      </w:r>
      <w:r w:rsidR="003F7262" w:rsidRPr="003F7262">
        <w:rPr>
          <w:rFonts w:ascii="Verdana" w:eastAsia="Verdana" w:hAnsi="Verdana" w:cs="Verdana"/>
        </w:rPr>
        <w:t xml:space="preserve"> significantly in late 2020 and early 2021.</w:t>
      </w:r>
      <w:r w:rsidR="000339E2">
        <w:rPr>
          <w:rFonts w:ascii="Verdana" w:eastAsia="Verdana" w:hAnsi="Verdana" w:cs="Verdana"/>
        </w:rPr>
        <w:t>T</w:t>
      </w:r>
      <w:r w:rsidR="003F7262" w:rsidRPr="003F7262">
        <w:rPr>
          <w:rFonts w:ascii="Verdana" w:eastAsia="Verdana" w:hAnsi="Verdana" w:cs="Verdana"/>
        </w:rPr>
        <w:t>he problems continue</w:t>
      </w:r>
      <w:r w:rsidR="003F7262">
        <w:rPr>
          <w:rFonts w:ascii="Verdana" w:eastAsia="Verdana" w:hAnsi="Verdana" w:cs="Verdana"/>
        </w:rPr>
        <w:t>d</w:t>
      </w:r>
      <w:r w:rsidR="003F7262" w:rsidRPr="003F7262">
        <w:rPr>
          <w:rFonts w:ascii="Verdana" w:eastAsia="Verdana" w:hAnsi="Verdana" w:cs="Verdana"/>
        </w:rPr>
        <w:t xml:space="preserve"> to worsen as we get into summer and autumn 2021</w:t>
      </w:r>
      <w:r w:rsidR="003F7262">
        <w:rPr>
          <w:rFonts w:ascii="Verdana" w:eastAsia="Verdana" w:hAnsi="Verdana" w:cs="Verdana"/>
        </w:rPr>
        <w:t xml:space="preserve">, with the peak of </w:t>
      </w:r>
      <w:r w:rsidR="008B458B" w:rsidRPr="008B458B">
        <w:rPr>
          <w:rFonts w:ascii="Verdana" w:eastAsia="Verdana" w:hAnsi="Verdana" w:cs="Verdana"/>
        </w:rPr>
        <w:t xml:space="preserve">3.93 </w:t>
      </w:r>
      <w:r w:rsidR="003F7262" w:rsidRPr="008B458B">
        <w:rPr>
          <w:rFonts w:ascii="Verdana" w:eastAsia="Verdana" w:hAnsi="Verdana" w:cs="Verdana"/>
        </w:rPr>
        <w:t>days reached in August 2021.</w:t>
      </w:r>
      <w:r w:rsidR="008B458B">
        <w:rPr>
          <w:rFonts w:ascii="Verdana" w:eastAsia="Verdana" w:hAnsi="Verdana" w:cs="Verdana"/>
        </w:rPr>
        <w:t xml:space="preserve"> </w:t>
      </w:r>
    </w:p>
    <w:p w14:paraId="6E4631D1" w14:textId="35772E26" w:rsidR="000339E2" w:rsidRDefault="00A04149" w:rsidP="001F5452">
      <w:pPr>
        <w:spacing w:after="120" w:line="336" w:lineRule="auto"/>
        <w:jc w:val="both"/>
        <w:rPr>
          <w:rFonts w:ascii="Verdana" w:eastAsia="Verdana" w:hAnsi="Verdana" w:cs="Verdana"/>
        </w:rPr>
      </w:pPr>
      <w:r w:rsidRPr="00A04149">
        <w:drawing>
          <wp:anchor distT="0" distB="0" distL="114300" distR="114300" simplePos="0" relativeHeight="251661312" behindDoc="0" locked="0" layoutInCell="1" allowOverlap="1" wp14:anchorId="79EBA7E0" wp14:editId="0901108D">
            <wp:simplePos x="0" y="0"/>
            <wp:positionH relativeFrom="margin">
              <wp:align>right</wp:align>
            </wp:positionH>
            <wp:positionV relativeFrom="paragraph">
              <wp:posOffset>1159510</wp:posOffset>
            </wp:positionV>
            <wp:extent cx="3689985" cy="2308860"/>
            <wp:effectExtent l="0" t="0" r="5715" b="0"/>
            <wp:wrapThrough wrapText="bothSides">
              <wp:wrapPolygon edited="0">
                <wp:start x="0" y="0"/>
                <wp:lineTo x="0" y="21386"/>
                <wp:lineTo x="21522" y="21386"/>
                <wp:lineTo x="21522" y="0"/>
                <wp:lineTo x="0" y="0"/>
              </wp:wrapPolygon>
            </wp:wrapThrough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262">
        <w:rPr>
          <w:rFonts w:ascii="Verdana" w:eastAsia="Verdana" w:hAnsi="Verdana" w:cs="Verdana"/>
        </w:rPr>
        <w:t xml:space="preserve">However, the </w:t>
      </w:r>
      <w:r w:rsidR="0038639D">
        <w:rPr>
          <w:rFonts w:ascii="Verdana" w:eastAsia="Verdana" w:hAnsi="Verdana" w:cs="Verdana"/>
        </w:rPr>
        <w:t xml:space="preserve">more </w:t>
      </w:r>
      <w:r w:rsidR="003F7262">
        <w:rPr>
          <w:rFonts w:ascii="Verdana" w:eastAsia="Verdana" w:hAnsi="Verdana" w:cs="Verdana"/>
        </w:rPr>
        <w:t xml:space="preserve">pertinent question is whether the global average is representative of all trade lanes. Figure </w:t>
      </w:r>
      <w:r w:rsidR="000339E2">
        <w:rPr>
          <w:rFonts w:ascii="Verdana" w:eastAsia="Verdana" w:hAnsi="Verdana" w:cs="Verdana"/>
        </w:rPr>
        <w:t>2</w:t>
      </w:r>
      <w:r w:rsidR="003F7262">
        <w:rPr>
          <w:rFonts w:ascii="Verdana" w:eastAsia="Verdana" w:hAnsi="Verdana" w:cs="Verdana"/>
        </w:rPr>
        <w:t xml:space="preserve"> shows the vessel delay</w:t>
      </w:r>
      <w:r w:rsidR="000339E2">
        <w:rPr>
          <w:rFonts w:ascii="Verdana" w:eastAsia="Verdana" w:hAnsi="Verdana" w:cs="Verdana"/>
        </w:rPr>
        <w:t>s</w:t>
      </w:r>
      <w:r w:rsidR="003F7262">
        <w:rPr>
          <w:rFonts w:ascii="Verdana" w:eastAsia="Verdana" w:hAnsi="Verdana" w:cs="Verdana"/>
        </w:rPr>
        <w:t xml:space="preserve"> in September 2021 in excess of the 2016-2019 baseline</w:t>
      </w:r>
      <w:r w:rsidR="000339E2">
        <w:rPr>
          <w:rFonts w:ascii="Verdana" w:eastAsia="Verdana" w:hAnsi="Verdana" w:cs="Verdana"/>
        </w:rPr>
        <w:t>,</w:t>
      </w:r>
      <w:r w:rsidR="003F7262">
        <w:rPr>
          <w:rFonts w:ascii="Verdana" w:eastAsia="Verdana" w:hAnsi="Verdana" w:cs="Verdana"/>
        </w:rPr>
        <w:t xml:space="preserve"> for the 34 trade lanes covered in the </w:t>
      </w:r>
      <w:r w:rsidR="003F7262">
        <w:rPr>
          <w:rFonts w:ascii="Verdana" w:eastAsia="Verdana" w:hAnsi="Verdana" w:cs="Verdana"/>
          <w:i/>
          <w:iCs/>
        </w:rPr>
        <w:t xml:space="preserve">Global Liner Performance </w:t>
      </w:r>
      <w:r w:rsidR="003F7262">
        <w:rPr>
          <w:rFonts w:ascii="Verdana" w:eastAsia="Verdana" w:hAnsi="Verdana" w:cs="Verdana"/>
        </w:rPr>
        <w:t xml:space="preserve">report. </w:t>
      </w:r>
      <w:r w:rsidR="003F7262" w:rsidRPr="003F7262">
        <w:rPr>
          <w:rFonts w:ascii="Verdana" w:eastAsia="Verdana" w:hAnsi="Verdana" w:cs="Verdana"/>
        </w:rPr>
        <w:t xml:space="preserve">Here we see a very large spread indeed. Most trades show very large increases in delays, indicating that the congestion problems leading to delays are indeed prevalent globally and not isolated to just a few large key trades. </w:t>
      </w:r>
    </w:p>
    <w:p w14:paraId="430B26F9" w14:textId="393E83E4" w:rsidR="008B458B" w:rsidRPr="003C78A9" w:rsidRDefault="003F7262" w:rsidP="001F5452">
      <w:pPr>
        <w:spacing w:after="120" w:line="336" w:lineRule="auto"/>
        <w:jc w:val="both"/>
        <w:rPr>
          <w:rFonts w:ascii="Verdana" w:eastAsia="Verdana" w:hAnsi="Verdana" w:cs="Verdana"/>
        </w:rPr>
      </w:pPr>
      <w:r w:rsidRPr="003F7262">
        <w:rPr>
          <w:rFonts w:ascii="Verdana" w:eastAsia="Verdana" w:hAnsi="Verdana" w:cs="Verdana"/>
        </w:rPr>
        <w:t>However, it can also be seen that a few individual trades are not impacted, and essentially have the same magnitude of delays as they had before the pandemic</w:t>
      </w:r>
      <w:r>
        <w:rPr>
          <w:rFonts w:ascii="Verdana" w:eastAsia="Verdana" w:hAnsi="Verdana" w:cs="Verdana"/>
        </w:rPr>
        <w:t>. These, relatively less impacted trade lanes, are mostly connected to South America</w:t>
      </w:r>
      <w:r w:rsidR="000339E2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from both Europe and North America.</w:t>
      </w:r>
    </w:p>
    <w:p w14:paraId="23D7D40F" w14:textId="1EA05ADC" w:rsidR="00ED3362" w:rsidRDefault="002D7F7B" w:rsidP="000D437A">
      <w:pPr>
        <w:spacing w:after="120" w:line="33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23D7D410" w14:textId="579591D7" w:rsidR="00ED3362" w:rsidRDefault="002D7F7B" w:rsidP="000D437A">
      <w:pPr>
        <w:spacing w:after="120" w:line="33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11" w:history="1">
        <w:r w:rsidR="00617E94" w:rsidRPr="008563D5">
          <w:rPr>
            <w:rStyle w:val="Hyperlink"/>
            <w:rFonts w:ascii="Verdana" w:eastAsia="Verdana" w:hAnsi="Verdana" w:cs="Verdana"/>
            <w:sz w:val="21"/>
            <w:szCs w:val="21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2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</w:p>
    <w:sectPr w:rsidR="00ED3362">
      <w:footerReference w:type="default" r:id="rId13"/>
      <w:pgSz w:w="12240" w:h="15840"/>
      <w:pgMar w:top="1440" w:right="900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E0BC" w14:textId="77777777" w:rsidR="00477FF9" w:rsidRDefault="00477FF9">
      <w:pPr>
        <w:spacing w:after="0" w:line="240" w:lineRule="auto"/>
      </w:pPr>
      <w:r>
        <w:separator/>
      </w:r>
    </w:p>
  </w:endnote>
  <w:endnote w:type="continuationSeparator" w:id="0">
    <w:p w14:paraId="5D7B8F62" w14:textId="77777777" w:rsidR="00477FF9" w:rsidRDefault="0047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415" w14:textId="77777777" w:rsidR="00ED3362" w:rsidRDefault="002D7F7B">
    <w:pPr>
      <w:shd w:val="clear" w:color="auto" w:fill="FFFFFF"/>
      <w:spacing w:after="300" w:line="240" w:lineRule="auto"/>
      <w:jc w:val="both"/>
      <w:rPr>
        <w:rFonts w:ascii="Khmer" w:eastAsia="Khmer" w:hAnsi="Khmer" w:cs="Khmer"/>
        <w:color w:val="404040"/>
        <w:sz w:val="21"/>
        <w:szCs w:val="21"/>
      </w:rPr>
    </w:pPr>
    <w:r>
      <w:rPr>
        <w:rFonts w:ascii="Khmer" w:eastAsia="Khmer" w:hAnsi="Khmer" w:cs="Khmer"/>
        <w:color w:val="404040"/>
        <w:sz w:val="21"/>
        <w:szCs w:val="21"/>
      </w:rPr>
      <w:t>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is a leading provider of Research &amp; Analysis, Data Services, and Advisory Services within the global supply chain industry, with a strong focus on container shipping. Combining strong quantitative analytical skills with a deep understanding of the supply chain industry, based on many decades of experience at all central parts of the Ocean supply chain, 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3FF4" w14:textId="77777777" w:rsidR="00477FF9" w:rsidRDefault="00477FF9">
      <w:pPr>
        <w:spacing w:after="0" w:line="240" w:lineRule="auto"/>
      </w:pPr>
      <w:r>
        <w:separator/>
      </w:r>
    </w:p>
  </w:footnote>
  <w:footnote w:type="continuationSeparator" w:id="0">
    <w:p w14:paraId="696E3325" w14:textId="77777777" w:rsidR="00477FF9" w:rsidRDefault="0047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44D"/>
    <w:multiLevelType w:val="hybridMultilevel"/>
    <w:tmpl w:val="F3EAFCA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62"/>
    <w:rsid w:val="000138EF"/>
    <w:rsid w:val="000145DC"/>
    <w:rsid w:val="000302B4"/>
    <w:rsid w:val="00031B77"/>
    <w:rsid w:val="000339E2"/>
    <w:rsid w:val="000356E3"/>
    <w:rsid w:val="00057FCB"/>
    <w:rsid w:val="000656BF"/>
    <w:rsid w:val="0009250C"/>
    <w:rsid w:val="0009731F"/>
    <w:rsid w:val="000B0305"/>
    <w:rsid w:val="000D437A"/>
    <w:rsid w:val="001249B8"/>
    <w:rsid w:val="00134A93"/>
    <w:rsid w:val="001761B3"/>
    <w:rsid w:val="00176AF7"/>
    <w:rsid w:val="00191469"/>
    <w:rsid w:val="00194A1C"/>
    <w:rsid w:val="001D1960"/>
    <w:rsid w:val="001E21B5"/>
    <w:rsid w:val="001F5452"/>
    <w:rsid w:val="00206446"/>
    <w:rsid w:val="0021474D"/>
    <w:rsid w:val="0022026B"/>
    <w:rsid w:val="002272D6"/>
    <w:rsid w:val="00242583"/>
    <w:rsid w:val="00256DEC"/>
    <w:rsid w:val="00257E31"/>
    <w:rsid w:val="002754A3"/>
    <w:rsid w:val="00287B13"/>
    <w:rsid w:val="0029224A"/>
    <w:rsid w:val="002964A2"/>
    <w:rsid w:val="002A5663"/>
    <w:rsid w:val="002A645D"/>
    <w:rsid w:val="002B3CEB"/>
    <w:rsid w:val="002D7F7B"/>
    <w:rsid w:val="002E5EEE"/>
    <w:rsid w:val="00314039"/>
    <w:rsid w:val="00341A4E"/>
    <w:rsid w:val="00345801"/>
    <w:rsid w:val="00352640"/>
    <w:rsid w:val="00374ED7"/>
    <w:rsid w:val="00383D4F"/>
    <w:rsid w:val="0038639D"/>
    <w:rsid w:val="0039083A"/>
    <w:rsid w:val="003A550B"/>
    <w:rsid w:val="003C78A9"/>
    <w:rsid w:val="003D0ED2"/>
    <w:rsid w:val="003D185A"/>
    <w:rsid w:val="003E0ACD"/>
    <w:rsid w:val="003E14A9"/>
    <w:rsid w:val="003F67B1"/>
    <w:rsid w:val="003F7262"/>
    <w:rsid w:val="00402019"/>
    <w:rsid w:val="00445291"/>
    <w:rsid w:val="00477FF9"/>
    <w:rsid w:val="004806C1"/>
    <w:rsid w:val="0049654D"/>
    <w:rsid w:val="004A160F"/>
    <w:rsid w:val="004A4DB6"/>
    <w:rsid w:val="004A6D1C"/>
    <w:rsid w:val="004B42A5"/>
    <w:rsid w:val="004C7464"/>
    <w:rsid w:val="00505109"/>
    <w:rsid w:val="00512813"/>
    <w:rsid w:val="00513B43"/>
    <w:rsid w:val="00517F68"/>
    <w:rsid w:val="00531B94"/>
    <w:rsid w:val="00536B04"/>
    <w:rsid w:val="0054023B"/>
    <w:rsid w:val="00542CDC"/>
    <w:rsid w:val="005546D2"/>
    <w:rsid w:val="00567542"/>
    <w:rsid w:val="00570B84"/>
    <w:rsid w:val="0057220B"/>
    <w:rsid w:val="00574EF3"/>
    <w:rsid w:val="0057562D"/>
    <w:rsid w:val="0059150D"/>
    <w:rsid w:val="0059172E"/>
    <w:rsid w:val="005D33F4"/>
    <w:rsid w:val="00617E94"/>
    <w:rsid w:val="00620847"/>
    <w:rsid w:val="006267B7"/>
    <w:rsid w:val="00627B34"/>
    <w:rsid w:val="00633029"/>
    <w:rsid w:val="00652139"/>
    <w:rsid w:val="00652830"/>
    <w:rsid w:val="00664511"/>
    <w:rsid w:val="006650A5"/>
    <w:rsid w:val="006919AD"/>
    <w:rsid w:val="006C0C9B"/>
    <w:rsid w:val="006C68EA"/>
    <w:rsid w:val="006D5052"/>
    <w:rsid w:val="006D6AD0"/>
    <w:rsid w:val="00701666"/>
    <w:rsid w:val="0072601B"/>
    <w:rsid w:val="0075413B"/>
    <w:rsid w:val="00773291"/>
    <w:rsid w:val="007820BD"/>
    <w:rsid w:val="007A0E85"/>
    <w:rsid w:val="007A70C0"/>
    <w:rsid w:val="007B61DD"/>
    <w:rsid w:val="007E2E78"/>
    <w:rsid w:val="007F772C"/>
    <w:rsid w:val="008055F7"/>
    <w:rsid w:val="008214F2"/>
    <w:rsid w:val="0083740C"/>
    <w:rsid w:val="008454ED"/>
    <w:rsid w:val="008670B3"/>
    <w:rsid w:val="008966F2"/>
    <w:rsid w:val="008B458B"/>
    <w:rsid w:val="008E228D"/>
    <w:rsid w:val="008F2D8F"/>
    <w:rsid w:val="00905B8C"/>
    <w:rsid w:val="00924591"/>
    <w:rsid w:val="00926A08"/>
    <w:rsid w:val="00927FB2"/>
    <w:rsid w:val="0094492E"/>
    <w:rsid w:val="009A7CAA"/>
    <w:rsid w:val="009C18F5"/>
    <w:rsid w:val="009C3779"/>
    <w:rsid w:val="00A04149"/>
    <w:rsid w:val="00A33E2A"/>
    <w:rsid w:val="00A5146F"/>
    <w:rsid w:val="00A522FF"/>
    <w:rsid w:val="00A55D57"/>
    <w:rsid w:val="00A60374"/>
    <w:rsid w:val="00A86475"/>
    <w:rsid w:val="00AC2B5A"/>
    <w:rsid w:val="00B0547F"/>
    <w:rsid w:val="00B131BC"/>
    <w:rsid w:val="00B32272"/>
    <w:rsid w:val="00B74416"/>
    <w:rsid w:val="00B95795"/>
    <w:rsid w:val="00BA0A74"/>
    <w:rsid w:val="00BB5CCE"/>
    <w:rsid w:val="00BC3AF7"/>
    <w:rsid w:val="00BC580B"/>
    <w:rsid w:val="00C00E35"/>
    <w:rsid w:val="00C216E4"/>
    <w:rsid w:val="00C2538D"/>
    <w:rsid w:val="00C54085"/>
    <w:rsid w:val="00CA2B29"/>
    <w:rsid w:val="00CD2F94"/>
    <w:rsid w:val="00D16D31"/>
    <w:rsid w:val="00D41230"/>
    <w:rsid w:val="00D42346"/>
    <w:rsid w:val="00D62A7C"/>
    <w:rsid w:val="00D84E6D"/>
    <w:rsid w:val="00D87062"/>
    <w:rsid w:val="00DA67D3"/>
    <w:rsid w:val="00DE15B1"/>
    <w:rsid w:val="00DE487E"/>
    <w:rsid w:val="00E02826"/>
    <w:rsid w:val="00E245CA"/>
    <w:rsid w:val="00E441BB"/>
    <w:rsid w:val="00E450F1"/>
    <w:rsid w:val="00E45647"/>
    <w:rsid w:val="00E5060F"/>
    <w:rsid w:val="00E52D9A"/>
    <w:rsid w:val="00E61EF6"/>
    <w:rsid w:val="00E66246"/>
    <w:rsid w:val="00E9229E"/>
    <w:rsid w:val="00E9392D"/>
    <w:rsid w:val="00E96464"/>
    <w:rsid w:val="00EA3321"/>
    <w:rsid w:val="00EC721F"/>
    <w:rsid w:val="00ED3362"/>
    <w:rsid w:val="00EF192E"/>
    <w:rsid w:val="00EF2CE2"/>
    <w:rsid w:val="00F00508"/>
    <w:rsid w:val="00F16932"/>
    <w:rsid w:val="00F172B0"/>
    <w:rsid w:val="00F3460F"/>
    <w:rsid w:val="00F34793"/>
    <w:rsid w:val="00F43049"/>
    <w:rsid w:val="00F53DB5"/>
    <w:rsid w:val="00F86594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40A"/>
  <w15:docId w15:val="{046B42D8-39F9-424E-B7DC-D94AD03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@sea-intelligenc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@sea-intelligenc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pyWfDKlq3yxw2j7Yky3MWA4xA==">AMUW2mVhm+8z4i3aQtRCx4lkkGWzMRWlxEy37cOwCqMFw2JVn3pZo778WRbl314ViZ2Fch9QG4SN4FajiK7BQEghlyZcAoNq9/F9Nstr1ukvKEL9IoLQNpQ=</go:docsCustomData>
</go:gDocsCustomXmlDataStorage>
</file>

<file path=customXml/itemProps1.xml><?xml version="1.0" encoding="utf-8"?>
<ds:datastoreItem xmlns:ds="http://schemas.openxmlformats.org/officeDocument/2006/customXml" ds:itemID="{C32B1785-A333-43E2-A786-492FBF291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Imaad Asad</dc:creator>
  <cp:lastModifiedBy>Imaad Asad</cp:lastModifiedBy>
  <cp:revision>2</cp:revision>
  <dcterms:created xsi:type="dcterms:W3CDTF">2021-11-02T08:25:00Z</dcterms:created>
  <dcterms:modified xsi:type="dcterms:W3CDTF">2021-11-02T08:25:00Z</dcterms:modified>
</cp:coreProperties>
</file>